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474" w:rsidRPr="00694474" w:rsidRDefault="00694474" w:rsidP="00694474">
      <w:pPr>
        <w:rPr>
          <w:b/>
        </w:rPr>
      </w:pPr>
      <w:r w:rsidRPr="00694474">
        <w:rPr>
          <w:b/>
        </w:rPr>
        <w:t>Discussion 1</w:t>
      </w:r>
    </w:p>
    <w:p w:rsidR="00694474" w:rsidRDefault="00694474" w:rsidP="00694474"/>
    <w:p w:rsidR="00694474" w:rsidRPr="00694474" w:rsidRDefault="00694474" w:rsidP="00694474">
      <w:r w:rsidRPr="00694474">
        <w:t>If I were a new prisoner my immediate concerns, the problems I expect to face, and how I would deal with them would depend on the length of my sentence and where I was housed at. If I had a sentence with minimal length (less than 5 years), I would try to adhere to the subculture that Irwin and Cressey (1962) identified as conventional or legitimate. My goal would be to enroll in as many courses available to stay busy and better my chances of being granted parole to return to society as quickly as possible. I suspect there would not be as much pressure to join a group for protection or camaraderie since the period of incarceration is so brief. I still expect I would encounter immediate concerns about the possibility of being housed with an offender that has more experience inside prison walls than in the free world. This concern could be dealt with by either staying out of their way or attempting to establish an alliance with them to not gain an enemy.</w:t>
      </w:r>
      <w:r w:rsidRPr="00694474">
        <w:br/>
      </w:r>
      <w:r w:rsidRPr="00694474">
        <w:br/>
        <w:t xml:space="preserve">On the other hand, if my sentence was a substantial amount of time or even a life sentence, then I may need to adapt to adhere to the prison, or “convict” (p.147), subculture (Irwin &amp; Cressey, 1962). The convict subculture seems to be an option that many offenders would easily automatically gravitate towards since it seems to take on a Utilitarian approach which comes as an instinct (Irwin &amp; Cressey, 1962). This would depend on what facility I was serving my sentence at, though. During research conducted by Schaefer, Bouchard, Young, and </w:t>
      </w:r>
      <w:proofErr w:type="spellStart"/>
      <w:r w:rsidRPr="00694474">
        <w:t>Kreager</w:t>
      </w:r>
      <w:proofErr w:type="spellEnd"/>
      <w:r w:rsidRPr="00694474">
        <w:t xml:space="preserve"> (2017), they observed the gang subculture was much less densely populated due to the facility being deemed as a “good behavior” (p. 101) unit. Therefore, if I were housed at a facility like the one referenced in their study, then I would again try to adhere to the lifestyle of a legitimate offender (Irwin &amp; Cressey, 1962). However, if I were housed at a facility where legitimacy was not an option, then I know I would be forced to join/form a network of peers that would protect me in any given situation and vice versa. This would bring forth concerns of who to trust, which group will I resonate more with (if more than one is an option), and possible enemies/rivals that may be forged as a result. I know I will be watched by the other offenders from the first moment I step onto the facility. In turn, I will need to be very observant of individuals and the groups they flock to combat my concerns and ultimately protect myself. My only option of continuing to deal with those concerns would be to always remain almost excessively alert of my surroundings for the duration of my incarceration.</w:t>
      </w:r>
      <w:r w:rsidRPr="00694474">
        <w:br/>
      </w:r>
      <w:r w:rsidRPr="00694474">
        <w:br/>
        <w:t xml:space="preserve">The values developed from prison culture can be best summed up in one sentence, “the inmate social system responds to the constraints created by incarceration and the demographics of its population” (Skarbek, 2012, p. 107). Offenders in prison have various demographics and are all forced to sleep, work, and live amongst each other. The concept of living with someone of a different race may seem trivial now, but that was not always the case. It is important to remember that as historical dynamics were changing in the free world, they were also forcing a change inside prison walls. This was an exceptionally stressful concept to adapt to when prisons were desegregated. An interview with Inmate Gold, a founder of the Aryan Brotherhood of Texas, revealed after civil rights had been granted to the black community that “young black inmates started coming into TDC [Texas Department of Corrections] thinking they could push white inmates around just because they had civil rights now” (M. </w:t>
      </w:r>
      <w:proofErr w:type="spellStart"/>
      <w:r w:rsidRPr="00694474">
        <w:t>Pelz</w:t>
      </w:r>
      <w:proofErr w:type="spellEnd"/>
      <w:r w:rsidRPr="00694474">
        <w:t xml:space="preserve">, Marquart, and C. </w:t>
      </w:r>
      <w:proofErr w:type="spellStart"/>
      <w:r w:rsidRPr="00694474">
        <w:t>Pelz</w:t>
      </w:r>
      <w:proofErr w:type="spellEnd"/>
      <w:r w:rsidRPr="00694474">
        <w:t xml:space="preserve">, </w:t>
      </w:r>
      <w:r w:rsidRPr="00694474">
        <w:lastRenderedPageBreak/>
        <w:t xml:space="preserve">1991, p. 28). This caused white offenders that were involved with the Ku Klux Klan or Aryan Nations to informally band together while incarcerated to protect themselves and fight to get back the respect they once effortlessly had (M. </w:t>
      </w:r>
      <w:proofErr w:type="spellStart"/>
      <w:r w:rsidRPr="00694474">
        <w:t>Pelz</w:t>
      </w:r>
      <w:proofErr w:type="spellEnd"/>
      <w:r w:rsidRPr="00694474">
        <w:t xml:space="preserve">, Marquart, and C. </w:t>
      </w:r>
      <w:proofErr w:type="spellStart"/>
      <w:r w:rsidRPr="00694474">
        <w:t>Pelz</w:t>
      </w:r>
      <w:proofErr w:type="spellEnd"/>
      <w:r w:rsidRPr="00694474">
        <w:t>, 1991). On the other hand, for some offenders, their demographics play no part in the way they adjust to prison life. Simply put, these offenders take on the role of a convict culture (Irwin &amp; Cressey, 1962). It does not seem to matter what free world social standing or influences these offenders may have had. They must make a name for themselves and assert their dominance in the social ladder by whatever means they see fit while incarcerated. Irwin and Cressey (1962) described these organizations of offenders as being “characterized by deprivations and limitation on freedom, and in them available wealth must be competed for by men supposedly on equal footing” (p. 147). Further meaning that offenders are forced to adapt to the deprivations of incarceration which are vastly different than situations they would typically face in the free world.</w:t>
      </w:r>
    </w:p>
    <w:p w:rsidR="00E80135" w:rsidRDefault="00E80135"/>
    <w:p w:rsidR="00694474" w:rsidRPr="00694474" w:rsidRDefault="00694474" w:rsidP="00694474">
      <w:pPr>
        <w:rPr>
          <w:b/>
        </w:rPr>
      </w:pPr>
    </w:p>
    <w:p w:rsidR="00694474" w:rsidRDefault="00694474" w:rsidP="00694474">
      <w:pPr>
        <w:rPr>
          <w:b/>
        </w:rPr>
      </w:pPr>
      <w:r w:rsidRPr="00694474">
        <w:rPr>
          <w:b/>
        </w:rPr>
        <w:t>Discussion 2</w:t>
      </w:r>
    </w:p>
    <w:p w:rsidR="00694474" w:rsidRDefault="00694474" w:rsidP="00694474">
      <w:pPr>
        <w:rPr>
          <w:b/>
        </w:rPr>
      </w:pPr>
    </w:p>
    <w:p w:rsidR="00694474" w:rsidRPr="00694474" w:rsidRDefault="00694474" w:rsidP="00694474">
      <w:pPr>
        <w:pBdr>
          <w:bottom w:val="single" w:sz="6" w:space="1" w:color="auto"/>
        </w:pBdr>
        <w:jc w:val="center"/>
        <w:rPr>
          <w:rFonts w:ascii="Arial" w:eastAsia="Times New Roman" w:hAnsi="Arial" w:cs="Arial"/>
          <w:vanish/>
          <w:sz w:val="16"/>
          <w:szCs w:val="16"/>
        </w:rPr>
      </w:pPr>
      <w:r w:rsidRPr="00694474">
        <w:rPr>
          <w:rFonts w:ascii="Arial" w:eastAsia="Times New Roman" w:hAnsi="Arial" w:cs="Arial"/>
          <w:vanish/>
          <w:sz w:val="16"/>
          <w:szCs w:val="16"/>
        </w:rPr>
        <w:t>Top of Form</w:t>
      </w:r>
    </w:p>
    <w:p w:rsidR="00694474" w:rsidRPr="00694474" w:rsidRDefault="00694474" w:rsidP="00694474">
      <w:pPr>
        <w:spacing w:after="240"/>
        <w:rPr>
          <w:rFonts w:ascii="Georgia" w:eastAsia="Times New Roman" w:hAnsi="Georgia" w:cs="Times New Roman"/>
          <w:color w:val="111111"/>
          <w:sz w:val="23"/>
          <w:szCs w:val="23"/>
        </w:rPr>
      </w:pPr>
      <w:r w:rsidRPr="00694474">
        <w:rPr>
          <w:rFonts w:ascii="Georgia" w:eastAsia="Times New Roman" w:hAnsi="Georgia" w:cs="Times New Roman"/>
          <w:color w:val="111111"/>
          <w:sz w:val="23"/>
          <w:szCs w:val="23"/>
        </w:rPr>
        <w:t>The clang of a prison door is something I never want to experience.  As an older woman, the thought of going to prison is a scary prospect.  If I were to hear those prison doors slam shut, my first thought would be: how in the $%#@ did this happen?  What are my kids and grandkids going to think?  Are they going to visit?  Do I even want to see them?   Where is my phone?  How can I live without the internet?  I would try to force those thoughts out of my mind; compartmentalize them. </w:t>
      </w:r>
    </w:p>
    <w:p w:rsidR="00694474" w:rsidRPr="00694474" w:rsidRDefault="00694474" w:rsidP="00694474">
      <w:pPr>
        <w:spacing w:after="240"/>
        <w:rPr>
          <w:rFonts w:ascii="Georgia" w:eastAsia="Times New Roman" w:hAnsi="Georgia" w:cs="Times New Roman"/>
          <w:color w:val="111111"/>
          <w:sz w:val="23"/>
          <w:szCs w:val="23"/>
        </w:rPr>
      </w:pPr>
      <w:r w:rsidRPr="00694474">
        <w:rPr>
          <w:rFonts w:ascii="Georgia" w:eastAsia="Times New Roman" w:hAnsi="Georgia" w:cs="Times New Roman"/>
          <w:color w:val="111111"/>
          <w:sz w:val="23"/>
          <w:szCs w:val="23"/>
        </w:rPr>
        <w:t>Schafer et al. (2017) pointed out that inmates are often socially isolated and have an immediate disconnect with the outside world.  Barnes and Stringer (2014) note that the women’s prison population mostly consists of women ages 25 to 34.  They further elaborated that these women need maternal role models.  I would use my skills to help those around me in prison.  I would try to fill the needs of other inmates as well as my own by “mothering them.”  I would be mindful of the fact that I could be labeled as a “do-gooder.”  Other inmates would be suspicious of me.  As an older and new inmate, I would be especially vulnerable, as younger inmates aren’t as respectful toward older inmates (Skarbek, 2012).   Irwin and Cressey (1962) would classify me as “legit.”</w:t>
      </w:r>
    </w:p>
    <w:p w:rsidR="00694474" w:rsidRPr="00694474" w:rsidRDefault="00694474" w:rsidP="00694474">
      <w:pPr>
        <w:spacing w:after="240"/>
        <w:rPr>
          <w:rFonts w:ascii="Georgia" w:eastAsia="Times New Roman" w:hAnsi="Georgia" w:cs="Times New Roman"/>
          <w:color w:val="111111"/>
          <w:sz w:val="23"/>
          <w:szCs w:val="23"/>
        </w:rPr>
      </w:pPr>
      <w:r w:rsidRPr="00694474">
        <w:rPr>
          <w:rFonts w:ascii="Georgia" w:eastAsia="Times New Roman" w:hAnsi="Georgia" w:cs="Times New Roman"/>
          <w:color w:val="111111"/>
          <w:sz w:val="23"/>
          <w:szCs w:val="23"/>
        </w:rPr>
        <w:t xml:space="preserve">Deprivation and limits to freedom described by Irwin and Cressey (1962) come into play when new inmates arrive into correctional facilities.  The inmates’ mental health also factors into the socialization process (Schaefer et al., 2017).  </w:t>
      </w:r>
      <w:proofErr w:type="spellStart"/>
      <w:r w:rsidRPr="00694474">
        <w:rPr>
          <w:rFonts w:ascii="Georgia" w:eastAsia="Times New Roman" w:hAnsi="Georgia" w:cs="Times New Roman"/>
          <w:color w:val="111111"/>
          <w:sz w:val="23"/>
          <w:szCs w:val="23"/>
        </w:rPr>
        <w:t>Kreiger</w:t>
      </w:r>
      <w:proofErr w:type="spellEnd"/>
      <w:r w:rsidRPr="00694474">
        <w:rPr>
          <w:rFonts w:ascii="Georgia" w:eastAsia="Times New Roman" w:hAnsi="Georgia" w:cs="Times New Roman"/>
          <w:color w:val="111111"/>
          <w:sz w:val="23"/>
          <w:szCs w:val="23"/>
        </w:rPr>
        <w:t xml:space="preserve"> et al. (2016) stated that Sykes concurs that the loss of one’s freedom is so devastating that “institutions foster informal norms” (p. 1001).  However, they further stated that other research indicates that inmates’ attitudes and life experiences cultivate prison norms.  Scholars disagree over the cause, and as such, further research is warranted. </w:t>
      </w:r>
    </w:p>
    <w:p w:rsidR="00694474" w:rsidRPr="00694474" w:rsidRDefault="00694474" w:rsidP="00694474">
      <w:pPr>
        <w:spacing w:after="240"/>
        <w:rPr>
          <w:rFonts w:ascii="Georgia" w:eastAsia="Times New Roman" w:hAnsi="Georgia" w:cs="Times New Roman"/>
          <w:color w:val="111111"/>
          <w:sz w:val="23"/>
          <w:szCs w:val="23"/>
        </w:rPr>
      </w:pPr>
      <w:r w:rsidRPr="00694474">
        <w:rPr>
          <w:rFonts w:ascii="Georgia" w:eastAsia="Times New Roman" w:hAnsi="Georgia" w:cs="Times New Roman"/>
          <w:color w:val="111111"/>
          <w:sz w:val="23"/>
          <w:szCs w:val="23"/>
        </w:rPr>
        <w:t xml:space="preserve">I believe that both the shock of losing ones’ freedom and the subsequent reaction foster prison values.  Deprivation is such a jolt to one’s system; prisoners fall back on their </w:t>
      </w:r>
      <w:bookmarkStart w:id="0" w:name="_GoBack"/>
      <w:bookmarkEnd w:id="0"/>
      <w:r w:rsidRPr="00694474">
        <w:rPr>
          <w:rFonts w:ascii="Georgia" w:eastAsia="Times New Roman" w:hAnsi="Georgia" w:cs="Times New Roman"/>
          <w:color w:val="111111"/>
          <w:sz w:val="23"/>
          <w:szCs w:val="23"/>
        </w:rPr>
        <w:t xml:space="preserve">backgrounds to cope and determine which group they will or will not join. Those with mental health issues are especially vulnerable.  Prisoners do what they need to do to survive; whether they are classified as thieves, convicts, or </w:t>
      </w:r>
      <w:proofErr w:type="spellStart"/>
      <w:r w:rsidRPr="00694474">
        <w:rPr>
          <w:rFonts w:ascii="Georgia" w:eastAsia="Times New Roman" w:hAnsi="Georgia" w:cs="Times New Roman"/>
          <w:color w:val="111111"/>
          <w:sz w:val="23"/>
          <w:szCs w:val="23"/>
        </w:rPr>
        <w:t>legits</w:t>
      </w:r>
      <w:proofErr w:type="spellEnd"/>
      <w:r w:rsidRPr="00694474">
        <w:rPr>
          <w:rFonts w:ascii="Georgia" w:eastAsia="Times New Roman" w:hAnsi="Georgia" w:cs="Times New Roman"/>
          <w:color w:val="111111"/>
          <w:sz w:val="23"/>
          <w:szCs w:val="23"/>
        </w:rPr>
        <w:t xml:space="preserve"> is dependent upon how they react to their surroundings. </w:t>
      </w:r>
    </w:p>
    <w:p w:rsidR="00694474" w:rsidRPr="00694474" w:rsidRDefault="00694474" w:rsidP="00694474">
      <w:pPr>
        <w:pBdr>
          <w:top w:val="single" w:sz="6" w:space="1" w:color="auto"/>
        </w:pBdr>
        <w:jc w:val="center"/>
        <w:rPr>
          <w:rFonts w:ascii="Arial" w:eastAsia="Times New Roman" w:hAnsi="Arial" w:cs="Arial"/>
          <w:vanish/>
          <w:sz w:val="16"/>
          <w:szCs w:val="16"/>
        </w:rPr>
      </w:pPr>
      <w:r w:rsidRPr="00694474">
        <w:rPr>
          <w:rFonts w:ascii="Arial" w:eastAsia="Times New Roman" w:hAnsi="Arial" w:cs="Arial"/>
          <w:vanish/>
          <w:sz w:val="16"/>
          <w:szCs w:val="16"/>
        </w:rPr>
        <w:lastRenderedPageBreak/>
        <w:t>Bottom of Form</w:t>
      </w:r>
    </w:p>
    <w:p w:rsidR="00694474" w:rsidRPr="00694474" w:rsidRDefault="00694474" w:rsidP="00694474">
      <w:pPr>
        <w:rPr>
          <w:b/>
        </w:rPr>
      </w:pPr>
    </w:p>
    <w:p w:rsidR="00694474" w:rsidRDefault="00694474"/>
    <w:sectPr w:rsidR="00694474"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74"/>
    <w:rsid w:val="0033037F"/>
    <w:rsid w:val="004257D4"/>
    <w:rsid w:val="004831F0"/>
    <w:rsid w:val="00694391"/>
    <w:rsid w:val="00694474"/>
    <w:rsid w:val="0082346E"/>
    <w:rsid w:val="00E80135"/>
    <w:rsid w:val="00EC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1DA34C"/>
  <w15:chartTrackingRefBased/>
  <w15:docId w15:val="{34E5B71F-9363-EF42-813E-E0A35664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447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94474"/>
    <w:rPr>
      <w:color w:val="0000FF"/>
      <w:u w:val="single"/>
    </w:rPr>
  </w:style>
  <w:style w:type="paragraph" w:styleId="z-TopofForm">
    <w:name w:val="HTML Top of Form"/>
    <w:basedOn w:val="Normal"/>
    <w:next w:val="Normal"/>
    <w:link w:val="z-TopofFormChar"/>
    <w:hidden/>
    <w:uiPriority w:val="99"/>
    <w:semiHidden/>
    <w:unhideWhenUsed/>
    <w:rsid w:val="00694474"/>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9447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94474"/>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9447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035290">
      <w:bodyDiv w:val="1"/>
      <w:marLeft w:val="0"/>
      <w:marRight w:val="0"/>
      <w:marTop w:val="0"/>
      <w:marBottom w:val="0"/>
      <w:divBdr>
        <w:top w:val="none" w:sz="0" w:space="0" w:color="auto"/>
        <w:left w:val="none" w:sz="0" w:space="0" w:color="auto"/>
        <w:bottom w:val="none" w:sz="0" w:space="0" w:color="auto"/>
        <w:right w:val="none" w:sz="0" w:space="0" w:color="auto"/>
      </w:divBdr>
    </w:div>
    <w:div w:id="1310939374">
      <w:bodyDiv w:val="1"/>
      <w:marLeft w:val="0"/>
      <w:marRight w:val="0"/>
      <w:marTop w:val="0"/>
      <w:marBottom w:val="0"/>
      <w:divBdr>
        <w:top w:val="none" w:sz="0" w:space="0" w:color="auto"/>
        <w:left w:val="none" w:sz="0" w:space="0" w:color="auto"/>
        <w:bottom w:val="none" w:sz="0" w:space="0" w:color="auto"/>
        <w:right w:val="none" w:sz="0" w:space="0" w:color="auto"/>
      </w:divBdr>
    </w:div>
    <w:div w:id="1653022607">
      <w:bodyDiv w:val="1"/>
      <w:marLeft w:val="0"/>
      <w:marRight w:val="0"/>
      <w:marTop w:val="0"/>
      <w:marBottom w:val="0"/>
      <w:divBdr>
        <w:top w:val="none" w:sz="0" w:space="0" w:color="auto"/>
        <w:left w:val="none" w:sz="0" w:space="0" w:color="auto"/>
        <w:bottom w:val="none" w:sz="0" w:space="0" w:color="auto"/>
        <w:right w:val="none" w:sz="0" w:space="0" w:color="auto"/>
      </w:divBdr>
      <w:divsChild>
        <w:div w:id="490801962">
          <w:marLeft w:val="0"/>
          <w:marRight w:val="0"/>
          <w:marTop w:val="0"/>
          <w:marBottom w:val="0"/>
          <w:divBdr>
            <w:top w:val="none" w:sz="0" w:space="0" w:color="auto"/>
            <w:left w:val="none" w:sz="0" w:space="0" w:color="auto"/>
            <w:bottom w:val="none" w:sz="0" w:space="0" w:color="auto"/>
            <w:right w:val="none" w:sz="0" w:space="0" w:color="auto"/>
          </w:divBdr>
          <w:divsChild>
            <w:div w:id="1948005767">
              <w:marLeft w:val="0"/>
              <w:marRight w:val="0"/>
              <w:marTop w:val="0"/>
              <w:marBottom w:val="0"/>
              <w:divBdr>
                <w:top w:val="none" w:sz="0" w:space="0" w:color="auto"/>
                <w:left w:val="none" w:sz="0" w:space="0" w:color="auto"/>
                <w:bottom w:val="none" w:sz="0" w:space="0" w:color="auto"/>
                <w:right w:val="none" w:sz="0" w:space="0" w:color="auto"/>
              </w:divBdr>
              <w:divsChild>
                <w:div w:id="1182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23192">
          <w:marLeft w:val="0"/>
          <w:marRight w:val="0"/>
          <w:marTop w:val="0"/>
          <w:marBottom w:val="0"/>
          <w:divBdr>
            <w:top w:val="none" w:sz="0" w:space="0" w:color="auto"/>
            <w:left w:val="none" w:sz="0" w:space="0" w:color="auto"/>
            <w:bottom w:val="none" w:sz="0" w:space="0" w:color="auto"/>
            <w:right w:val="none" w:sz="0" w:space="0" w:color="auto"/>
          </w:divBdr>
          <w:divsChild>
            <w:div w:id="156769722">
              <w:marLeft w:val="0"/>
              <w:marRight w:val="0"/>
              <w:marTop w:val="0"/>
              <w:marBottom w:val="0"/>
              <w:divBdr>
                <w:top w:val="none" w:sz="0" w:space="0" w:color="auto"/>
                <w:left w:val="none" w:sz="0" w:space="0" w:color="auto"/>
                <w:bottom w:val="none" w:sz="0" w:space="0" w:color="auto"/>
                <w:right w:val="none" w:sz="0" w:space="0" w:color="auto"/>
              </w:divBdr>
              <w:divsChild>
                <w:div w:id="1828588238">
                  <w:marLeft w:val="0"/>
                  <w:marRight w:val="0"/>
                  <w:marTop w:val="0"/>
                  <w:marBottom w:val="0"/>
                  <w:divBdr>
                    <w:top w:val="none" w:sz="0" w:space="0" w:color="auto"/>
                    <w:left w:val="none" w:sz="0" w:space="0" w:color="auto"/>
                    <w:bottom w:val="none" w:sz="0" w:space="0" w:color="auto"/>
                    <w:right w:val="none" w:sz="0" w:space="0" w:color="auto"/>
                  </w:divBdr>
                  <w:divsChild>
                    <w:div w:id="16038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90329">
      <w:bodyDiv w:val="1"/>
      <w:marLeft w:val="0"/>
      <w:marRight w:val="0"/>
      <w:marTop w:val="0"/>
      <w:marBottom w:val="0"/>
      <w:divBdr>
        <w:top w:val="none" w:sz="0" w:space="0" w:color="auto"/>
        <w:left w:val="none" w:sz="0" w:space="0" w:color="auto"/>
        <w:bottom w:val="none" w:sz="0" w:space="0" w:color="auto"/>
        <w:right w:val="none" w:sz="0" w:space="0" w:color="auto"/>
      </w:divBdr>
    </w:div>
    <w:div w:id="213309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1066</Words>
  <Characters>6082</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2020-09-12T02:05:00Z</dcterms:created>
  <dcterms:modified xsi:type="dcterms:W3CDTF">2020-09-12T02:12:00Z</dcterms:modified>
</cp:coreProperties>
</file>